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Зарегистрировано в Минюсте России 28 декабря 2022 г. N 71854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_______________________________________________________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МИНИСТЕРСТВО ФИНАНСОВ РОССИЙСКОЙ ФЕДЕРАЦИИ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0"/>
          <w:szCs w:val="20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ФЕДЕРАЛЬНОЕ АГЕНТСТВО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0"/>
          <w:szCs w:val="20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ПРИКАЗ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25 ноября 2022 г. N 255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УТВЕРЖДЕНИИ ПОРЯДКА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ПРЕДСТАВЛЕНИЯ ГРАЖДАНАМИ, ПРЕТЕНДУЮЩИМИ НА ЗАМЕЩЕНИЕ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ДОЛЖНОСТЕЙ, И РАБОТНИКАМИ, ЗАМЕЩАЮЩИМИ ДОЛЖНОСТИ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ОРГАНИЗАЦИЯХ, СОЗДАННЫХ ДЛЯ ВЫПОЛНЕНИЯ ЗАДАЧ, ПОСТАВЛЕННЫХ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ПЕРЕД ФЕДЕРАЛЬНЫМ АГЕНТСТВОМ ПО УПРАВЛЕНИЮ ГОСУДАРСТВЕННЫМ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ИМУЩЕСТВОМ, СВЕДЕНИЙ О СВОИХ ДОХОДАХ, РАСХОДАХ, ОБ ИМУЩЕСТВЕ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ОБЯЗАТЕЛЬСТВАХ ИМУЩЕСТВЕННОГО ХАРАКТЕРА, А ТАКЖЕ СВЕДЕНИЙ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ДОХОДАХ, РАСХОДАХ, ОБ ИМУЩЕСТВЕ И ОБЯЗАТЕЛЬСТВАХ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ИМУЩЕСТВЕННОГО ХАРАКТЕРА СВОИХ СУПРУГИ (СУПРУГА)</w:t>
      </w:r>
      <w:r/>
    </w:p>
    <w:p>
      <w:pPr>
        <w:ind w:left="0" w:right="0" w:firstLine="0"/>
        <w:jc w:val="center"/>
        <w:spacing w:before="0"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НЕСОВЕРШЕННОЛЕТНИХ ДЕТЕЙ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частью 2 статьи 8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частью 1 статьи 8.1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2012, N 50, ст. 6954; 2017, N 15, ст. 2139),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частью 2 статьи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7542),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подпунктом "б" пункта 22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1670) приказываю: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прилагаемый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Порядок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представления гражданами, претендующими на замещение должностей, и работниками, замещающими должности в организациях, созданных для выполнения задач, поставленных перед Федеральным агентством по управлению государственным имуществом, сведений о своих дохо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 силу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приказ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агентства по управлению государственным имуществом от 20 февраля 2017 г. N 44 "Об утверждении Порядка представления гражданами, претендующими на замещение должностей, и работниками, замещающими должности в организациях, созданных для выполнен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ия задач, поставленных перед Федеральным агентством по управлению государственным имуществом,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ущественного характера своих супруги (супруга) и несовершеннолетних детей" (зарегистрирован Министерством юстиции Российской Федерации 20 марта 2017 г., регистрационный N 46045).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Руководитель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В.В.ЯКОВЕНКО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приказом Федерального агентства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 управлению государственным имуществом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25.11.2022 N 255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ПРЕДСТАВЛЕНИЯ ГРАЖДАНАМИ, ПРЕТЕНДУЮЩИМИ НА ЗАМЕЩЕНИЕ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ДОЛЖНОСТЕЙ, И РАБОТНИКАМИ, ЗАМЕЩАЮЩИМИ ДОЛЖНОСТИ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ОРГАНИЗАЦИЯХ, СОЗДАННЫХ ДЛЯ ВЫПОЛНЕНИЯ ЗАДАЧ, ПОСТАВЛЕННЫХ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ПЕРЕД ФЕДЕРАЛЬНЫМ АГЕНТСТВОМ ПО УПРАВЛЕНИЮ ГОСУДАРСТВЕННЫМ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ИМУЩЕСТВОМ, СВЕДЕНИЙ О СВОИХ ДОХОДАХ, РАСХОДАХ, ОБ ИМУЩЕСТВЕ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ОБЯЗАТЕЛЬСТВАХ ИМУЩЕСТВЕННОГО ХАРАКТЕРА, А ТАКЖЕ СВЕДЕНИЙ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ДОХОДАХ, РАСХОДАХ, ОБ ИМУЩЕСТВЕ И ОБЯЗАТЕЛЬСТВАХ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ИМУЩЕСТВЕННОГО ХАРАКТЕРА СВОИХ СУПРУГИ (СУПРУГА)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НЕСОВЕРШЕННОЛЕТНИХ ДЕТЕЙ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Сведения о своих доходах, об имуществе и обязательствах имущественного характера и сведения о доходах, об имуществе и обязательствах имущественного характера своих супруги (супруга) и несовершеннолетних детей (далее - сведения о доходах) представляют: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гражданин, претендующий на замещение должности, предусмотренной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замещаемых на основании трудового договора в организациях, созданных для выполнения задач, поставленных перед Федеральным агентством по управлению государственным имуществом, при назначении на которые и при замещении которых граждане обязаны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енным приказом Федерального агентства по управлению государственным имуществом от 5 апреля 2022 г. N 57 (зарегистрирован Министерством юстиции Российской Федерации 13 мая 2022 г., регистрационный N 68466) (далее - гражданин, организации, Перечень должносте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работник, замещавший (постоянно или временно) по состоянию на 31 декабря отчетного года должность в организации,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 (далее - работник);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работник, замещающий в организации должность, не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и претендующий на замещение должности в этой организации, предусмотренной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 (далее - кандидат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Гражданин при назначении на должность в организацию,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представляет: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замещения должности 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организации,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замещения должности в организации (на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отчетную дату);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сведения о доходах супруги (супруга)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гражданином документов для замещения должности в орг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анизации,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в организаци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(на отчетную дату).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Работник ежегодно, не позднее 30 апреля года, следующего за отчетным, представляет: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ьствах имущественного характера по состоянию на конец отчетного периода;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им на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раве собственности, и об их обязательствах имущественного характера по состоянию на конец отчетного периода.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Кандидат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представляет сведения о доходах 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пунктом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Работник обязан ежегодно в сроки, установленные для представления сведений о доходах,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предшествующие отчетному периоду, и об источник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ах получения средств, за счет которых совершены эти сделки &lt;1&gt;.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&lt;1&gt;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Часть 1 статьи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2022, N 14, ст. 2203).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Сведения о доходах и сведения о расходах представляются по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форме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справки, утвержденной Указом Президента Российской Федерации от 23 июня 2014 г.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ерации" (Собрание законодательства Российской Федерации, 2014, N 26, ст. 3520; 2020, N 50, ст. 8185) (далее - справка о доходах и расходах), заполненной с использованием специального программного обеспечения "Справки БК", размещенного на официальном сайте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Справки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доходах и расходах представляют: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7.1. В структурное подразделение организации либо должностному лицу организации, на которое возложены функции по профилактике коррупционных и иных правонарушений (далее - уполномоченное подразделение организации, должностное лицо организации):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граждане, претендующие на замещение должностей в организации, и кандидаты на должности, предусмотренные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назначение на которые и освобождение от которых осуществляется руководителем организации либо руководителем филиала организации;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работники, замещающие должности в организации, назначение на которые и освобождение от которых осуществляется руководителем организации либо руководителем филиала организации.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7.2. В структурное подразделение Федерального агентства по управлению государственным имуществом, на которое возложены функции по профилактике коррупционных и иных правонарушений (далее - Отдел противодействия коррупции):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граждане, претендующие на замещение должностей в организации, и кандидаты на должности, предусмотренные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назначение на которые и освобождение от которых осуществляется руководителем Федерального агентства по управлению государственным имуществом либо уполномоченным заместителем руководителя Федерального агентства по управлению государственным иму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ществом;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работники, замещающие должности в организации, назначение на которые и освобождение от которых осуществляется руководителем Федерального агентства по управлению государственным имуществом либо уполномоченным заместителем руководителя Федерального агентс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тва по управлению государственным имуществом.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В случае если гражданин или кандидат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обнаружили, что в представленных ими сведениях о доходах, или работник обнаружил, что в представленных им сведениях о доходах и (или) сведениях о расходах не отражены или не полностью отражены какие-либо сведения либо имеются ошибки, они вправ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 представить уточненные сведения.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и кандидат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могут представить уточненные сведения в течение одного месяца со дня их представления 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пунктом 2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Работник может представить уточненные сведения в течение одного месяца после окончания срока, указанного в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абзаце первом пункта 3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Справки о доходах и расходах представляются гражданином, кандидатом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и работником лично либо направляются посредством почтовой связи.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При невозможности по объективным причинам представить сведения о доходах и сведения о расходах супруги (супруга) и (или) несовершеннолетних детей работник составляет заявление о невозможности по объективным причинам представить сведения о доходах и све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дения о расходах супруги (супруга) и (или) несовершеннолетних детей (далее - заявление), в котором объясняет причины непредставления указанных сведений.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срок, установленный для представления сведений о доходах и сведений о расходах, заявление направляется: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работником, замещающим должность в организации, назначение на которую осуществляется руководителем организации либо руководителем филиала организации, - в уполномоченное подразделение организации либо должностному лицу организации. Уполномоченное подраз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деление организации либо должностное лицо организации в течение пяти календарных дней со дня получения заявления от работника направляют его в Отдел противодействия коррупции;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работником, замещающим должность в организации, назначение на которую и освобождение от которой осуществляется руководителем Федерального агентства по управлению государственным имуществом либо уполномоченным заместителем руководителя Федерального агент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ства по управлению государственным имуществом, - в Отдел противодействия коррупции.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Заявление подлежит рассмотрению комиссией по соблюдению требований к служебному поведению и урегулированию конфликта интересов, образованной в Федеральном агентстве по управлению государственным имуществом в соответствии с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пунктом 7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Указа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27, ст. 3446) &lt;2&gt;.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&lt;2&gt;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Абзац третий подпункта "б" пункта 16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(Собрание законодательства Россий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ской Федерации, 2010, N 27, ст. 3446).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Сведения о доходах и сведения о расходах, представляемые в соответствии с настоящим Порядком,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Федеральные государственные гражданские служащие Федерального агентства по управлению государственным имуществом и должностное лицо организации, в должностные обязанности которых входит работа со сведениями о доходах и сведениями о расходах, виновные 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Справки о доходах и расходах, представленные в соответствии с настоящим Порядком гражданином или кандидатом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а также справки о доходах и расходах, представляемые работником ежегодно, и информация о результатах проверки достоверности и полноты содержащихся в них сведений после проведения анализа и проверки указанных сведений подлежат приобщению к личн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ому делу работника.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В случае если гражданин или кандидат на должность, предусмотренную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Перечнем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представившие справки о доходах и расходах, не были назначены на должность, включенную в </w:t>
      </w:r>
      <w:r>
        <w:rPr>
          <w:rFonts w:ascii="Times New Roman" w:hAnsi="Times New Roman" w:eastAsia="Times New Roman" w:cs="Times New Roman"/>
          <w:color w:val="0000ff"/>
          <w:sz w:val="24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должностей, справки о доходах и расходах возвращаются им по их письменному заявлению.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pStyle w:val="879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first" r:id="rId9"/>
      <w:footnotePr/>
      <w:endnotePr/>
      <w:type w:val="continuous"/>
      <w:pgSz w:w="11906" w:h="16838" w:orient="portrait"/>
      <w:pgMar w:top="709" w:right="567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4" w:hanging="1245"/>
        <w:tabs>
          <w:tab w:val="num" w:pos="1784" w:leader="none"/>
        </w:tabs>
      </w:pPr>
    </w:lvl>
    <w:lvl w:ilvl="1">
      <w:start w:val="1"/>
      <w:numFmt w:val="bullet"/>
      <w:isLgl w:val="false"/>
      <w:suff w:val="tab"/>
      <w:lvlText w:val="-"/>
      <w:lvlJc w:val="left"/>
      <w:pPr>
        <w:ind w:left="2159" w:hanging="900"/>
        <w:tabs>
          <w:tab w:val="num" w:pos="215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39" w:hanging="180"/>
        <w:tabs>
          <w:tab w:val="num" w:pos="233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59" w:hanging="360"/>
        <w:tabs>
          <w:tab w:val="num" w:pos="305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79" w:hanging="360"/>
        <w:tabs>
          <w:tab w:val="num" w:pos="377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499" w:hanging="180"/>
        <w:tabs>
          <w:tab w:val="num" w:pos="449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19" w:hanging="360"/>
        <w:tabs>
          <w:tab w:val="num" w:pos="521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39" w:hanging="360"/>
        <w:tabs>
          <w:tab w:val="num" w:pos="593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59" w:hanging="180"/>
        <w:tabs>
          <w:tab w:val="num" w:pos="6659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0"/>
  </w:num>
  <w:num w:numId="9">
    <w:abstractNumId w:val="10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link w:val="720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next w:val="868"/>
    <w:link w:val="868"/>
    <w:qFormat/>
    <w:rPr>
      <w:sz w:val="24"/>
      <w:szCs w:val="24"/>
      <w:lang w:val="ru-RU" w:eastAsia="ru-RU" w:bidi="ar-SA"/>
    </w:rPr>
  </w:style>
  <w:style w:type="character" w:styleId="869">
    <w:name w:val="Основной шрифт абзаца"/>
    <w:next w:val="869"/>
    <w:link w:val="868"/>
    <w:semiHidden/>
  </w:style>
  <w:style w:type="table" w:styleId="870">
    <w:name w:val="Обычная таблица"/>
    <w:next w:val="870"/>
    <w:link w:val="868"/>
    <w:semiHidden/>
    <w:tblPr/>
  </w:style>
  <w:style w:type="numbering" w:styleId="871">
    <w:name w:val="Нет списка"/>
    <w:next w:val="871"/>
    <w:link w:val="868"/>
    <w:semiHidden/>
  </w:style>
  <w:style w:type="paragraph" w:styleId="872">
    <w:name w:val="ConsNormal"/>
    <w:next w:val="872"/>
    <w:link w:val="868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73">
    <w:name w:val="Основной текст"/>
    <w:basedOn w:val="868"/>
    <w:next w:val="873"/>
    <w:link w:val="868"/>
    <w:pPr>
      <w:jc w:val="both"/>
    </w:pPr>
  </w:style>
  <w:style w:type="paragraph" w:styleId="874">
    <w:name w:val="Основной текст с отступом"/>
    <w:basedOn w:val="868"/>
    <w:next w:val="874"/>
    <w:link w:val="868"/>
    <w:pPr>
      <w:ind w:firstLine="708"/>
      <w:jc w:val="both"/>
      <w:spacing w:line="360" w:lineRule="auto"/>
    </w:pPr>
    <w:rPr>
      <w:sz w:val="28"/>
      <w:szCs w:val="28"/>
    </w:rPr>
  </w:style>
  <w:style w:type="paragraph" w:styleId="875">
    <w:name w:val="Текст выноски"/>
    <w:basedOn w:val="868"/>
    <w:next w:val="875"/>
    <w:link w:val="868"/>
    <w:semiHidden/>
    <w:rPr>
      <w:rFonts w:ascii="Tahoma" w:hAnsi="Tahoma" w:cs="Tahoma"/>
      <w:sz w:val="16"/>
      <w:szCs w:val="16"/>
    </w:rPr>
  </w:style>
  <w:style w:type="character" w:styleId="876">
    <w:name w:val="Гиперссылка"/>
    <w:next w:val="876"/>
    <w:link w:val="868"/>
    <w:uiPriority w:val="99"/>
    <w:unhideWhenUsed/>
    <w:rPr>
      <w:color w:val="0000ff"/>
      <w:u w:val="single"/>
    </w:rPr>
  </w:style>
  <w:style w:type="paragraph" w:styleId="877">
    <w:name w:val="Верхний колонтитул"/>
    <w:basedOn w:val="868"/>
    <w:next w:val="877"/>
    <w:link w:val="878"/>
    <w:pPr>
      <w:tabs>
        <w:tab w:val="center" w:pos="4677" w:leader="none"/>
        <w:tab w:val="right" w:pos="9355" w:leader="none"/>
      </w:tabs>
    </w:pPr>
  </w:style>
  <w:style w:type="character" w:styleId="878">
    <w:name w:val="Верхний колонтитул Знак"/>
    <w:next w:val="878"/>
    <w:link w:val="877"/>
    <w:rPr>
      <w:sz w:val="24"/>
      <w:szCs w:val="24"/>
    </w:rPr>
  </w:style>
  <w:style w:type="paragraph" w:styleId="879">
    <w:name w:val="Нижний колонтитул"/>
    <w:basedOn w:val="868"/>
    <w:next w:val="879"/>
    <w:link w:val="880"/>
    <w:uiPriority w:val="99"/>
    <w:pPr>
      <w:tabs>
        <w:tab w:val="center" w:pos="4677" w:leader="none"/>
        <w:tab w:val="right" w:pos="9355" w:leader="none"/>
      </w:tabs>
    </w:pPr>
  </w:style>
  <w:style w:type="character" w:styleId="880">
    <w:name w:val="Нижний колонтитул Знак"/>
    <w:next w:val="880"/>
    <w:link w:val="879"/>
    <w:uiPriority w:val="99"/>
    <w:rPr>
      <w:sz w:val="24"/>
      <w:szCs w:val="24"/>
    </w:rPr>
  </w:style>
  <w:style w:type="paragraph" w:styleId="881">
    <w:name w:val="Основной текст с отступом 2"/>
    <w:basedOn w:val="868"/>
    <w:next w:val="881"/>
    <w:link w:val="882"/>
    <w:pPr>
      <w:ind w:left="283"/>
      <w:spacing w:after="120" w:line="480" w:lineRule="auto"/>
    </w:pPr>
  </w:style>
  <w:style w:type="character" w:styleId="882">
    <w:name w:val="Основной текст с отступом 2 Знак"/>
    <w:next w:val="882"/>
    <w:link w:val="881"/>
    <w:rPr>
      <w:sz w:val="24"/>
      <w:szCs w:val="24"/>
    </w:rPr>
  </w:style>
  <w:style w:type="character" w:styleId="883">
    <w:name w:val="Знак примечания"/>
    <w:next w:val="883"/>
    <w:link w:val="868"/>
    <w:rPr>
      <w:sz w:val="16"/>
      <w:szCs w:val="16"/>
    </w:rPr>
  </w:style>
  <w:style w:type="paragraph" w:styleId="884">
    <w:name w:val="Текст примечания"/>
    <w:basedOn w:val="868"/>
    <w:next w:val="884"/>
    <w:link w:val="885"/>
    <w:rPr>
      <w:sz w:val="20"/>
      <w:szCs w:val="20"/>
    </w:rPr>
  </w:style>
  <w:style w:type="character" w:styleId="885">
    <w:name w:val="Текст примечания Знак"/>
    <w:basedOn w:val="869"/>
    <w:next w:val="885"/>
    <w:link w:val="884"/>
  </w:style>
  <w:style w:type="paragraph" w:styleId="886">
    <w:name w:val="Тема примечания"/>
    <w:basedOn w:val="884"/>
    <w:next w:val="884"/>
    <w:link w:val="887"/>
    <w:rPr>
      <w:b/>
      <w:bCs/>
    </w:rPr>
  </w:style>
  <w:style w:type="character" w:styleId="887">
    <w:name w:val="Тема примечания Знак"/>
    <w:next w:val="887"/>
    <w:link w:val="886"/>
    <w:rPr>
      <w:b/>
      <w:bCs/>
    </w:r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  <w:style w:type="table" w:styleId="8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RFPF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приватизации государственного имущества</dc:title>
  <dc:creator>Счасная А.Н.</dc:creator>
  <cp:lastModifiedBy>ivan.britkov</cp:lastModifiedBy>
  <cp:revision>22</cp:revision>
  <dcterms:created xsi:type="dcterms:W3CDTF">2023-06-20T13:57:00Z</dcterms:created>
  <dcterms:modified xsi:type="dcterms:W3CDTF">2025-12-22T12:13:03Z</dcterms:modified>
  <cp:version>983040</cp:version>
</cp:coreProperties>
</file>